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9" w:rsidRPr="00CA3389" w:rsidRDefault="00CA3389" w:rsidP="00CA3389">
      <w:pPr>
        <w:jc w:val="center"/>
        <w:rPr>
          <w:b/>
          <w:bCs/>
        </w:rPr>
      </w:pPr>
      <w:r w:rsidRPr="00CA3389">
        <w:rPr>
          <w:b/>
          <w:bCs/>
        </w:rPr>
        <w:t xml:space="preserve">Сообщение о существенном факте </w:t>
      </w:r>
    </w:p>
    <w:p w:rsidR="00AD33D8" w:rsidRPr="00CA3389" w:rsidRDefault="00A3143D" w:rsidP="00CA3389">
      <w:pPr>
        <w:jc w:val="center"/>
        <w:rPr>
          <w:b/>
          <w:bCs/>
        </w:rPr>
      </w:pPr>
      <w:r>
        <w:rPr>
          <w:b/>
          <w:bCs/>
        </w:rPr>
        <w:t>о дате начале размещения ценных бумаг</w:t>
      </w:r>
    </w:p>
    <w:p w:rsidR="00CA3389" w:rsidRPr="00CA3389" w:rsidRDefault="00CA3389" w:rsidP="00CA3389">
      <w:pPr>
        <w:jc w:val="center"/>
      </w:pPr>
    </w:p>
    <w:tbl>
      <w:tblPr>
        <w:tblW w:w="102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5117"/>
        <w:gridCol w:w="5117"/>
      </w:tblGrid>
      <w:tr w:rsidR="00AD33D8" w:rsidRPr="00CA3389" w:rsidTr="00A723E4">
        <w:trPr>
          <w:gridBefore w:val="1"/>
          <w:wBefore w:w="23" w:type="dxa"/>
          <w:cantSplit/>
        </w:trPr>
        <w:tc>
          <w:tcPr>
            <w:tcW w:w="10234" w:type="dxa"/>
            <w:gridSpan w:val="2"/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1. Общие сведения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Default="00AD33D8" w:rsidP="00A723E4">
            <w:pPr>
              <w:ind w:left="57"/>
            </w:pPr>
            <w:r w:rsidRPr="00CA3389">
              <w:t>1.3. Место нахождения эмитента</w:t>
            </w:r>
          </w:p>
          <w:p w:rsidR="00FC0A9C" w:rsidRPr="00CA3389" w:rsidRDefault="00FC0A9C" w:rsidP="00A723E4">
            <w:pPr>
              <w:ind w:left="57"/>
            </w:pPr>
            <w:r>
              <w:t>Адрес юридического лица:</w:t>
            </w:r>
          </w:p>
        </w:tc>
        <w:tc>
          <w:tcPr>
            <w:tcW w:w="5117" w:type="dxa"/>
          </w:tcPr>
          <w:p w:rsidR="00AD33D8" w:rsidRDefault="00FC0A9C" w:rsidP="00AD33D8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Город Москва</w:t>
            </w:r>
          </w:p>
          <w:p w:rsidR="00FC0A9C" w:rsidRPr="00CA3389" w:rsidRDefault="00FC0A9C" w:rsidP="00FC0A9C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125047, г. Москва, Оружейный пер., д. 21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1.4. ОГРН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1097746657601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1.5. ИНН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7710758440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AD33D8" w:rsidRPr="00D1024E" w:rsidRDefault="00A10357" w:rsidP="00A723E4">
            <w:pPr>
              <w:ind w:left="57"/>
              <w:rPr>
                <w:b/>
                <w:i/>
              </w:rPr>
            </w:pPr>
            <w:r>
              <w:t>00203-R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AD33D8" w:rsidRPr="00FC0A9C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http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lang w:val="en-US"/>
              </w:rPr>
              <w:t>//www.expatel.ru</w:t>
            </w:r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p w:rsidR="00AD33D8" w:rsidRPr="00CA3389" w:rsidRDefault="00AD33D8" w:rsidP="00A723E4">
            <w:pPr>
              <w:spacing w:before="240"/>
              <w:ind w:right="57"/>
              <w:jc w:val="center"/>
            </w:pPr>
            <w:r w:rsidRPr="00CA3389">
              <w:t>2. Содержание сообщения</w:t>
            </w:r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7"/>
            </w:tblGrid>
            <w:tr w:rsidR="00CA3389" w:rsidRPr="005C4B9A" w:rsidTr="005C4B9A">
              <w:trPr>
                <w:trHeight w:val="1702"/>
              </w:trPr>
              <w:tc>
                <w:tcPr>
                  <w:tcW w:w="9817" w:type="dxa"/>
                </w:tcPr>
                <w:p w:rsidR="00415C48" w:rsidRPr="005C4B9A" w:rsidRDefault="00C226A6" w:rsidP="00415C48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2.1. Вид, категория (тип), серия и иные идентификационные признаки размещаемых ценных бумаг: </w:t>
                  </w:r>
                  <w:r w:rsidR="00415C48" w:rsidRPr="005C4B9A">
                    <w:rPr>
                      <w:sz w:val="18"/>
                      <w:szCs w:val="18"/>
                    </w:rPr>
                    <w:t>Облигации процентные неконвертируемые документарные на предъявителя с обязательным централизованным хранением серии 01 Общества с ограниченной ответственностью «</w:t>
                  </w:r>
                  <w:proofErr w:type="spellStart"/>
                  <w:r w:rsidR="00415C48" w:rsidRPr="005C4B9A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="00415C48" w:rsidRPr="005C4B9A">
                    <w:rPr>
                      <w:sz w:val="18"/>
                      <w:szCs w:val="18"/>
                    </w:rPr>
                    <w:t>»  (государственный регистрационный номер выпуска 4-01-00203-</w:t>
                  </w:r>
                  <w:r w:rsidR="00415C48" w:rsidRPr="005C4B9A">
                    <w:rPr>
                      <w:sz w:val="18"/>
                      <w:szCs w:val="18"/>
                      <w:lang w:val="en-US"/>
                    </w:rPr>
                    <w:t>R</w:t>
                  </w:r>
                  <w:r w:rsidR="00415C48" w:rsidRPr="005C4B9A">
                    <w:rPr>
                      <w:sz w:val="18"/>
                      <w:szCs w:val="18"/>
                    </w:rPr>
                    <w:t xml:space="preserve"> от 27.04.2015 года).</w:t>
                  </w:r>
                </w:p>
                <w:p w:rsidR="00586963" w:rsidRPr="005C4B9A" w:rsidRDefault="00C226A6" w:rsidP="00D57556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2.2. Срок погашения: </w:t>
                  </w:r>
                  <w:r w:rsidR="00586963" w:rsidRPr="005C4B9A">
                    <w:rPr>
                      <w:sz w:val="18"/>
                      <w:szCs w:val="18"/>
                    </w:rPr>
                    <w:t xml:space="preserve">1092-й (Одна тысяча девяносто второй) день </w:t>
                  </w:r>
                  <w:proofErr w:type="gramStart"/>
                  <w:r w:rsidR="00586963" w:rsidRPr="005C4B9A">
                    <w:rPr>
                      <w:sz w:val="18"/>
                      <w:szCs w:val="18"/>
                    </w:rPr>
                    <w:t>с даты начала</w:t>
                  </w:r>
                  <w:proofErr w:type="gramEnd"/>
                  <w:r w:rsidR="00586963" w:rsidRPr="005C4B9A">
                    <w:rPr>
                      <w:sz w:val="18"/>
                      <w:szCs w:val="18"/>
                    </w:rPr>
                    <w:t xml:space="preserve"> размещения Облигаций выпуска. </w:t>
                  </w:r>
                </w:p>
                <w:p w:rsidR="005C4B9A" w:rsidRDefault="00C226A6" w:rsidP="00D57556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2.3. Идентификационный номер, присвоенный выпуску ценных бумаг и дата его присвоения: </w:t>
                  </w:r>
                  <w:r w:rsidR="00D57556" w:rsidRPr="005C4B9A">
                    <w:rPr>
                      <w:sz w:val="18"/>
                      <w:szCs w:val="18"/>
                    </w:rPr>
                    <w:t>4-01-00203-</w:t>
                  </w:r>
                  <w:r w:rsidR="00D57556" w:rsidRPr="005C4B9A">
                    <w:rPr>
                      <w:sz w:val="18"/>
                      <w:szCs w:val="18"/>
                      <w:lang w:val="en-US"/>
                    </w:rPr>
                    <w:t>R</w:t>
                  </w:r>
                  <w:r w:rsidR="00D57556" w:rsidRPr="005C4B9A">
                    <w:rPr>
                      <w:sz w:val="18"/>
                      <w:szCs w:val="18"/>
                    </w:rPr>
                    <w:t xml:space="preserve"> от 27.04.2015 года</w:t>
                  </w:r>
                  <w:r w:rsidRPr="005C4B9A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5C4B9A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2.4. </w:t>
                  </w:r>
                  <w:r w:rsidR="003C0D61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Наименование регистрирующего органа</w:t>
                  </w:r>
                  <w:r w:rsidR="003522EC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, осуществившего государственную регистрацию выпуска ценных бумаг</w:t>
                  </w:r>
                  <w:r w:rsidR="003C0D61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522EC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(наименование органа (организации) присвоившего</w:t>
                  </w: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выпуску ценных бумаг идентификационный номер</w:t>
                  </w:r>
                  <w:r w:rsidR="003522EC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)</w:t>
                  </w: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: </w:t>
                  </w:r>
                  <w:r w:rsidR="00892F8E" w:rsidRPr="00892F8E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Главное управление Центрального Банка Российской Федерации по центральному федеральному округу г. Москва</w:t>
                  </w:r>
                  <w:r w:rsidRPr="00892F8E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:rsidR="005C4B9A" w:rsidRDefault="00C226A6" w:rsidP="00D57556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2.5. Количество размещаемых ценных бумаг и номинальная стоимость каждой размещаемой ценной бумаги: </w:t>
                  </w:r>
                  <w:r w:rsidR="005C4B9A" w:rsidRPr="005C4B9A">
                    <w:rPr>
                      <w:sz w:val="18"/>
                      <w:szCs w:val="18"/>
                    </w:rPr>
                    <w:t>500 000 (Пятьсот тысяч) штук</w:t>
                  </w: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номинальной стоимостью 1 000 (Одна тысяча) рублей каждая, общей номинальной стоимостью </w:t>
                  </w:r>
                  <w:r w:rsidR="005C4B9A"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00 000 000 (</w:t>
                  </w:r>
                  <w:r w:rsidR="005C4B9A"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Пятьсот миллионов</w:t>
                  </w: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) рублей.</w:t>
                  </w:r>
                </w:p>
                <w:p w:rsidR="00D57556" w:rsidRPr="005C4B9A" w:rsidRDefault="00C226A6" w:rsidP="00D57556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2.6. Способ размещения ценных бумаг: Открытая подписка.</w:t>
                  </w:r>
                </w:p>
                <w:p w:rsidR="00D57556" w:rsidRPr="005C4B9A" w:rsidRDefault="00C226A6" w:rsidP="00D57556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2.7. Цена размещения ценных бумаг или порядок ее определения: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>Цена размещения Облигаций устанавливается равной 1 000 (Одной тысяче) рублей за одну Облигацию, что соответствует 100 (Ста) процентам от ее номинальной стоимости.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>Начиная со второго дня размещения Облигаций, покупатель при приобретении Облигаций помимо цены размещения уплачивает накопленный купонный доход (НКД) по Облигациям, определяемый по следующей формуле: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 xml:space="preserve">НКД = </w:t>
                  </w:r>
                  <w:proofErr w:type="spellStart"/>
                  <w:r w:rsidRPr="005C4B9A">
                    <w:rPr>
                      <w:sz w:val="18"/>
                      <w:szCs w:val="18"/>
                    </w:rPr>
                    <w:t>Nom</w:t>
                  </w:r>
                  <w:proofErr w:type="spellEnd"/>
                  <w:r w:rsidRPr="005C4B9A">
                    <w:rPr>
                      <w:sz w:val="18"/>
                      <w:szCs w:val="18"/>
                    </w:rPr>
                    <w:t xml:space="preserve"> * C1 * (T – T0)/ 365/ 100%,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>где: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>НКД – накопленный купонный доход;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5C4B9A">
                    <w:rPr>
                      <w:sz w:val="18"/>
                      <w:szCs w:val="18"/>
                    </w:rPr>
                    <w:t>Nom</w:t>
                  </w:r>
                  <w:proofErr w:type="spellEnd"/>
                  <w:r w:rsidRPr="005C4B9A">
                    <w:rPr>
                      <w:sz w:val="18"/>
                      <w:szCs w:val="18"/>
                    </w:rPr>
                    <w:t xml:space="preserve"> - номинальная стоимость одной Облигации, руб.;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5C4B9A">
                    <w:rPr>
                      <w:sz w:val="18"/>
                      <w:szCs w:val="18"/>
                    </w:rPr>
                    <w:t>1</w:t>
                  </w:r>
                  <w:proofErr w:type="gramEnd"/>
                  <w:r w:rsidRPr="005C4B9A">
                    <w:rPr>
                      <w:sz w:val="18"/>
                      <w:szCs w:val="18"/>
                    </w:rPr>
                    <w:t xml:space="preserve"> - размер процентной ставки 1-го купона, в процентах годовых;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>T – дата размещения Облигаций;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 xml:space="preserve">T0 - дата начала размещения </w:t>
                  </w:r>
                  <w:proofErr w:type="gramStart"/>
                  <w:r w:rsidRPr="005C4B9A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5C4B9A">
                    <w:rPr>
                      <w:sz w:val="18"/>
                      <w:szCs w:val="18"/>
                    </w:rPr>
                    <w:t>в случае, если дата размещения облигаций приходится на период после даты выплаты первого купона, - дата начала соответствующего купонного периода).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>Величина НКД в расчете на одну Облигацию рассчитывается с точностью до одной копейки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5C4B9A">
                    <w:rPr>
                      <w:sz w:val="18"/>
                      <w:szCs w:val="18"/>
                    </w:rPr>
                    <w:t>(округление производится по правилам математического округления до ближайшего целого числа.</w:t>
                  </w:r>
                  <w:proofErr w:type="gramEnd"/>
                  <w:r w:rsidRPr="005C4B9A">
                    <w:rPr>
                      <w:sz w:val="18"/>
                      <w:szCs w:val="18"/>
                    </w:rPr>
                    <w:t xml:space="preserve"> При этом под правилом математического округления следует понимать метод округления, при котором значение целой копейки (целых копеек) не изменяется, если следующая </w:t>
                  </w:r>
                  <w:proofErr w:type="gramStart"/>
                  <w:r w:rsidRPr="005C4B9A">
                    <w:rPr>
                      <w:sz w:val="18"/>
                      <w:szCs w:val="18"/>
                    </w:rPr>
                    <w:t>за</w:t>
                  </w:r>
                  <w:proofErr w:type="gramEnd"/>
                  <w:r w:rsidRPr="005C4B9A">
                    <w:rPr>
                      <w:sz w:val="18"/>
                      <w:szCs w:val="18"/>
                    </w:rPr>
                    <w:t xml:space="preserve"> округляемой цифра равна от 0 до 4, и изменяется, увеличиваясь на единицу, если следующая цифра равна от 5 до 9).</w:t>
                  </w:r>
                </w:p>
                <w:p w:rsidR="00586963" w:rsidRPr="005C4B9A" w:rsidRDefault="00586963" w:rsidP="00586963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>В случае</w:t>
                  </w:r>
                  <w:proofErr w:type="gramStart"/>
                  <w:r w:rsidRPr="005C4B9A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5C4B9A">
                    <w:rPr>
                      <w:sz w:val="18"/>
                      <w:szCs w:val="18"/>
                    </w:rPr>
                    <w:t xml:space="preserve">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право: преимущественное право приобретения ценных бумаг не предусмотрено.</w:t>
                  </w:r>
                </w:p>
                <w:p w:rsidR="00586963" w:rsidRPr="005C4B9A" w:rsidRDefault="00C226A6" w:rsidP="00586963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2.8. Предоставление участникам эмитента и/или иным лицам преимущественного права приобретения ценных бумаг: </w:t>
                  </w:r>
                  <w:r w:rsidR="00586963" w:rsidRPr="005C4B9A">
                    <w:rPr>
                      <w:sz w:val="18"/>
                      <w:szCs w:val="18"/>
                    </w:rPr>
                    <w:t>Преимущественное право приобретения ценных бумаг не предусмотрено.</w:t>
                  </w:r>
                </w:p>
                <w:p w:rsidR="00D57556" w:rsidRPr="005C4B9A" w:rsidRDefault="00C226A6" w:rsidP="00D57556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outlineLvl w:val="0"/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2.9. Дата начала размещения ценных бумаг: </w:t>
                  </w:r>
                  <w:r w:rsidR="00586963"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26 августа 2015 года.</w:t>
                  </w:r>
                  <w:r w:rsidRPr="005C4B9A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5C4B9A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2.10. </w:t>
                  </w:r>
                  <w:r w:rsidR="00D57556"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Дата начала размещения ценных бумаг может быть изменена при условии опубликования информации об этом в ленте новостей и на странице в сети интернет не </w:t>
                  </w:r>
                  <w:proofErr w:type="gramStart"/>
                  <w:r w:rsidR="00D57556"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позднее</w:t>
                  </w:r>
                  <w:proofErr w:type="gramEnd"/>
                  <w:r w:rsidR="00D57556"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чем за один день до опубликованной в настоящем сообщении даты начала размещения ценных бумаг.</w:t>
                  </w:r>
                </w:p>
                <w:p w:rsidR="005C4B9A" w:rsidRPr="005C4B9A" w:rsidRDefault="00C226A6" w:rsidP="005C4B9A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2.11. Дата окончания размещения ценных бумаг или порядок ее определения:</w:t>
                  </w:r>
                  <w:r w:rsidRPr="005C4B9A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5C4B9A">
                    <w:rPr>
                      <w:color w:val="000000"/>
                      <w:sz w:val="18"/>
                      <w:szCs w:val="18"/>
                    </w:rPr>
                    <w:br/>
                  </w:r>
                  <w:r w:rsidR="005C4B9A" w:rsidRPr="005C4B9A">
                    <w:rPr>
                      <w:sz w:val="18"/>
                      <w:szCs w:val="18"/>
                    </w:rPr>
                    <w:t>Датой окончания размещения Облигаций является более ранняя из следующих дат:</w:t>
                  </w:r>
                </w:p>
                <w:p w:rsidR="005C4B9A" w:rsidRPr="005C4B9A" w:rsidRDefault="005C4B9A" w:rsidP="005C4B9A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 xml:space="preserve">а) 90-й (Девяностый) рабочий день </w:t>
                  </w:r>
                  <w:proofErr w:type="gramStart"/>
                  <w:r w:rsidRPr="005C4B9A">
                    <w:rPr>
                      <w:sz w:val="18"/>
                      <w:szCs w:val="18"/>
                    </w:rPr>
                    <w:t>с даты начала</w:t>
                  </w:r>
                  <w:proofErr w:type="gramEnd"/>
                  <w:r w:rsidRPr="005C4B9A">
                    <w:rPr>
                      <w:sz w:val="18"/>
                      <w:szCs w:val="18"/>
                    </w:rPr>
                    <w:t xml:space="preserve"> размещения Облигаций;</w:t>
                  </w:r>
                </w:p>
                <w:p w:rsidR="005C4B9A" w:rsidRPr="005C4B9A" w:rsidRDefault="005C4B9A" w:rsidP="005C4B9A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>б) дата размещения последней Облигации выпуска.</w:t>
                  </w:r>
                </w:p>
                <w:p w:rsidR="005C4B9A" w:rsidRPr="005C4B9A" w:rsidRDefault="005C4B9A" w:rsidP="005C4B9A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 xml:space="preserve">При этом дата окончания размещения не может быть более одного года </w:t>
                  </w:r>
                  <w:proofErr w:type="gramStart"/>
                  <w:r w:rsidRPr="005C4B9A">
                    <w:rPr>
                      <w:sz w:val="18"/>
                      <w:szCs w:val="18"/>
                    </w:rPr>
                    <w:t>с даты</w:t>
                  </w:r>
                  <w:proofErr w:type="gramEnd"/>
                  <w:r w:rsidRPr="005C4B9A">
                    <w:rPr>
                      <w:sz w:val="18"/>
                      <w:szCs w:val="18"/>
                    </w:rPr>
                    <w:t xml:space="preserve"> государственной регистрации выпуска Облигаций.</w:t>
                  </w:r>
                </w:p>
                <w:p w:rsidR="005C4B9A" w:rsidRPr="005C4B9A" w:rsidRDefault="005C4B9A" w:rsidP="005C4B9A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 xml:space="preserve">Эмитент вправе продлить указанный срок путем внесения соответствующих изменений в Решение о выпуске ценных бумаг. Такие изменения вносятся в порядке, установленном действующим законодательством. При этом каждое продление срока размещения Облигаций не может составлять более одного года, а общий срок размещения Облигаций с учетом его продления - более трех лет </w:t>
                  </w:r>
                  <w:proofErr w:type="gramStart"/>
                  <w:r w:rsidRPr="005C4B9A">
                    <w:rPr>
                      <w:sz w:val="18"/>
                      <w:szCs w:val="18"/>
                    </w:rPr>
                    <w:t>с даты</w:t>
                  </w:r>
                  <w:proofErr w:type="gramEnd"/>
                  <w:r w:rsidRPr="005C4B9A">
                    <w:rPr>
                      <w:sz w:val="18"/>
                      <w:szCs w:val="18"/>
                    </w:rPr>
                    <w:t xml:space="preserve"> государственной регистрации их выпуска.</w:t>
                  </w:r>
                </w:p>
                <w:p w:rsidR="005C4B9A" w:rsidRPr="005C4B9A" w:rsidRDefault="005C4B9A" w:rsidP="005C4B9A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lastRenderedPageBreak/>
                    <w:t>В случае</w:t>
                  </w:r>
                  <w:proofErr w:type="gramStart"/>
                  <w:r w:rsidRPr="005C4B9A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5C4B9A">
                    <w:rPr>
                      <w:sz w:val="18"/>
                      <w:szCs w:val="18"/>
                    </w:rPr>
                    <w:t xml:space="preserve"> если выпуск (дополнительный выпуск) облигаций предполагается размещать траншами, дополнительно указываются сроки размещения облигаций каждого транша или порядок их определения: Выпуск Облигаций не предполагается размещать траншами.</w:t>
                  </w:r>
                </w:p>
                <w:p w:rsidR="00582E04" w:rsidRPr="005C4B9A" w:rsidRDefault="005C4B9A" w:rsidP="005C4B9A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outlineLvl w:val="0"/>
                    <w:rPr>
                      <w:sz w:val="18"/>
                      <w:szCs w:val="18"/>
                    </w:rPr>
                  </w:pPr>
                  <w:r w:rsidRPr="005C4B9A">
                    <w:rPr>
                      <w:sz w:val="18"/>
                      <w:szCs w:val="18"/>
                    </w:rPr>
                    <w:t>В случае</w:t>
                  </w:r>
                  <w:proofErr w:type="gramStart"/>
                  <w:r w:rsidRPr="005C4B9A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5C4B9A">
                    <w:rPr>
                      <w:sz w:val="18"/>
                      <w:szCs w:val="18"/>
                    </w:rPr>
                    <w:t xml:space="preserve"> если срок размещения ценных бумаг определяется указанием на даты раскрытия какой- либо информации о выпуске (дополнительном выпуске) ценных бумаг, также указывается порядок раскрытия такой информации: Порядок доступа к информации, содержащийся в Проспекте ценных бумаг, а также раскрытие информации на этапе размещения ценных бумаг изложены в п. 11 Решения о выпуске ценных бумаг, а также в п. 8.11. Проспекта ценных бумаг.</w:t>
                  </w:r>
                </w:p>
              </w:tc>
            </w:tr>
          </w:tbl>
          <w:p w:rsidR="002442EE" w:rsidRPr="00CA3389" w:rsidRDefault="002442EE" w:rsidP="002442EE">
            <w:pPr>
              <w:tabs>
                <w:tab w:val="num" w:pos="434"/>
              </w:tabs>
              <w:suppressAutoHyphens/>
              <w:overflowPunct w:val="0"/>
              <w:adjustRightInd w:val="0"/>
              <w:jc w:val="both"/>
              <w:textAlignment w:val="baseline"/>
              <w:rPr>
                <w:b/>
                <w:i/>
              </w:rPr>
            </w:pPr>
          </w:p>
        </w:tc>
      </w:tr>
    </w:tbl>
    <w:p w:rsidR="00AD33D8" w:rsidRPr="00CA3389" w:rsidRDefault="00AD33D8" w:rsidP="00AD33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D33D8" w:rsidRPr="00CA3389" w:rsidTr="00A723E4">
        <w:trPr>
          <w:cantSplit/>
        </w:trPr>
        <w:tc>
          <w:tcPr>
            <w:tcW w:w="10235" w:type="dxa"/>
            <w:gridSpan w:val="11"/>
          </w:tcPr>
          <w:p w:rsidR="00AD33D8" w:rsidRPr="00CA3389" w:rsidRDefault="00AD33D8" w:rsidP="00A723E4">
            <w:pPr>
              <w:jc w:val="center"/>
            </w:pPr>
            <w:r w:rsidRPr="00CA3389">
              <w:t>3. Подпись</w:t>
            </w:r>
          </w:p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6639" w:rsidRPr="00CA3389" w:rsidRDefault="00106639" w:rsidP="00106639">
            <w:pPr>
              <w:ind w:left="57"/>
            </w:pPr>
          </w:p>
          <w:p w:rsidR="00106639" w:rsidRPr="00CA3389" w:rsidRDefault="00106639" w:rsidP="00106639">
            <w:pPr>
              <w:ind w:left="57"/>
            </w:pPr>
          </w:p>
          <w:p w:rsidR="00AD33D8" w:rsidRPr="00CA3389" w:rsidRDefault="00AD33D8" w:rsidP="00340A10">
            <w:pPr>
              <w:ind w:left="57"/>
            </w:pPr>
            <w:r w:rsidRPr="00CA3389">
              <w:t xml:space="preserve">3.1. </w:t>
            </w:r>
            <w:r w:rsidR="00582E04">
              <w:t>Д</w:t>
            </w:r>
            <w:r w:rsidR="00106639" w:rsidRPr="00CA3389">
              <w:t>иректор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DB22A9" w:rsidP="00AD33D8">
            <w:pPr>
              <w:jc w:val="center"/>
            </w:pPr>
            <w:r>
              <w:t>И.С. Юзефович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>
            <w:pPr>
              <w:jc w:val="center"/>
            </w:pPr>
            <w:r w:rsidRPr="00CA3389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33D8" w:rsidRPr="00CA3389" w:rsidRDefault="00AD33D8" w:rsidP="005E1D95">
            <w:pPr>
              <w:ind w:left="57"/>
            </w:pPr>
            <w:r w:rsidRPr="00CA3389">
              <w:t xml:space="preserve">3.2. Дата </w:t>
            </w:r>
            <w:r w:rsidR="005E1D95" w:rsidRPr="00CA3389"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71C0" w:rsidRDefault="00D57556" w:rsidP="00DB22A9">
            <w:pPr>
              <w:jc w:val="center"/>
            </w:pPr>
            <w: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5E1D95" w:rsidP="00A723E4">
            <w:r w:rsidRPr="00CA3389"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D57556" w:rsidP="00A723E4">
            <w:pPr>
              <w:jc w:val="center"/>
            </w:pPr>
            <w: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right"/>
            </w:pPr>
            <w:r w:rsidRPr="00CA338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C57A41">
            <w:r w:rsidRPr="00CA3389">
              <w:t>1</w:t>
            </w:r>
            <w:r w:rsidR="00C57A41"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ind w:left="57"/>
            </w:pPr>
            <w:r w:rsidRPr="00CA3389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2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D8" w:rsidRPr="00CA3389" w:rsidRDefault="00AD33D8" w:rsidP="00A723E4"/>
        </w:tc>
      </w:tr>
    </w:tbl>
    <w:p w:rsidR="0002303A" w:rsidRPr="005E1D95" w:rsidRDefault="0002303A">
      <w:pPr>
        <w:rPr>
          <w:sz w:val="24"/>
          <w:szCs w:val="24"/>
          <w:lang w:val="en-US"/>
        </w:rPr>
      </w:pPr>
    </w:p>
    <w:sectPr w:rsidR="0002303A" w:rsidRPr="005E1D95" w:rsidSect="0069557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EE9"/>
    <w:multiLevelType w:val="hybridMultilevel"/>
    <w:tmpl w:val="D2BE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6E1"/>
    <w:multiLevelType w:val="hybridMultilevel"/>
    <w:tmpl w:val="D5DCF268"/>
    <w:lvl w:ilvl="0" w:tplc="1A243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D97877"/>
    <w:multiLevelType w:val="hybridMultilevel"/>
    <w:tmpl w:val="2912DF7A"/>
    <w:lvl w:ilvl="0" w:tplc="E5C09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13451"/>
    <w:multiLevelType w:val="hybridMultilevel"/>
    <w:tmpl w:val="6EB8287E"/>
    <w:lvl w:ilvl="0" w:tplc="A8F8C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8"/>
    <w:rsid w:val="00003A18"/>
    <w:rsid w:val="00005C64"/>
    <w:rsid w:val="000154EA"/>
    <w:rsid w:val="00015945"/>
    <w:rsid w:val="00017893"/>
    <w:rsid w:val="0002303A"/>
    <w:rsid w:val="00030A2B"/>
    <w:rsid w:val="00030AD2"/>
    <w:rsid w:val="00032340"/>
    <w:rsid w:val="000333B6"/>
    <w:rsid w:val="000342D8"/>
    <w:rsid w:val="00036A08"/>
    <w:rsid w:val="000370BD"/>
    <w:rsid w:val="00042B8F"/>
    <w:rsid w:val="00042C94"/>
    <w:rsid w:val="00043476"/>
    <w:rsid w:val="00045499"/>
    <w:rsid w:val="00045FFE"/>
    <w:rsid w:val="00050057"/>
    <w:rsid w:val="00052E51"/>
    <w:rsid w:val="00053D16"/>
    <w:rsid w:val="00053F72"/>
    <w:rsid w:val="00057078"/>
    <w:rsid w:val="000570B6"/>
    <w:rsid w:val="00060837"/>
    <w:rsid w:val="00063606"/>
    <w:rsid w:val="00067ACD"/>
    <w:rsid w:val="00070946"/>
    <w:rsid w:val="000713DA"/>
    <w:rsid w:val="00074010"/>
    <w:rsid w:val="00076BE6"/>
    <w:rsid w:val="00076C3B"/>
    <w:rsid w:val="000778DE"/>
    <w:rsid w:val="00077D1F"/>
    <w:rsid w:val="00080CDF"/>
    <w:rsid w:val="000843EC"/>
    <w:rsid w:val="000850DA"/>
    <w:rsid w:val="00085817"/>
    <w:rsid w:val="00090E5B"/>
    <w:rsid w:val="00095A2E"/>
    <w:rsid w:val="0009718D"/>
    <w:rsid w:val="000A3413"/>
    <w:rsid w:val="000A3489"/>
    <w:rsid w:val="000A34EA"/>
    <w:rsid w:val="000A6285"/>
    <w:rsid w:val="000B4DFC"/>
    <w:rsid w:val="000B5024"/>
    <w:rsid w:val="000C0B6E"/>
    <w:rsid w:val="000C12AE"/>
    <w:rsid w:val="000C21E1"/>
    <w:rsid w:val="000C2C21"/>
    <w:rsid w:val="000C3547"/>
    <w:rsid w:val="000C35A5"/>
    <w:rsid w:val="000C75E1"/>
    <w:rsid w:val="000D18F1"/>
    <w:rsid w:val="000D200E"/>
    <w:rsid w:val="000D26CC"/>
    <w:rsid w:val="000D26D2"/>
    <w:rsid w:val="000D3E8B"/>
    <w:rsid w:val="000D4B57"/>
    <w:rsid w:val="000D6E27"/>
    <w:rsid w:val="000E539F"/>
    <w:rsid w:val="000E6669"/>
    <w:rsid w:val="000F1743"/>
    <w:rsid w:val="000F6647"/>
    <w:rsid w:val="000F7112"/>
    <w:rsid w:val="001007D6"/>
    <w:rsid w:val="001026DD"/>
    <w:rsid w:val="00105963"/>
    <w:rsid w:val="0010645D"/>
    <w:rsid w:val="00106639"/>
    <w:rsid w:val="00110D77"/>
    <w:rsid w:val="00114092"/>
    <w:rsid w:val="00117320"/>
    <w:rsid w:val="0012148A"/>
    <w:rsid w:val="00121A4E"/>
    <w:rsid w:val="00122E75"/>
    <w:rsid w:val="00124E00"/>
    <w:rsid w:val="00126E10"/>
    <w:rsid w:val="00127630"/>
    <w:rsid w:val="001307A4"/>
    <w:rsid w:val="00130BAD"/>
    <w:rsid w:val="00133040"/>
    <w:rsid w:val="001364B0"/>
    <w:rsid w:val="00137637"/>
    <w:rsid w:val="001656F9"/>
    <w:rsid w:val="00165799"/>
    <w:rsid w:val="00172B6B"/>
    <w:rsid w:val="00181758"/>
    <w:rsid w:val="001844FF"/>
    <w:rsid w:val="00184C52"/>
    <w:rsid w:val="00192B54"/>
    <w:rsid w:val="001956DA"/>
    <w:rsid w:val="0019592B"/>
    <w:rsid w:val="00197E9F"/>
    <w:rsid w:val="001A16B2"/>
    <w:rsid w:val="001A1DB2"/>
    <w:rsid w:val="001A5690"/>
    <w:rsid w:val="001A63C4"/>
    <w:rsid w:val="001A66A8"/>
    <w:rsid w:val="001A7B45"/>
    <w:rsid w:val="001C0D5C"/>
    <w:rsid w:val="001C1C6F"/>
    <w:rsid w:val="001C4760"/>
    <w:rsid w:val="001C71D8"/>
    <w:rsid w:val="001C7751"/>
    <w:rsid w:val="001C7E0C"/>
    <w:rsid w:val="001D0835"/>
    <w:rsid w:val="001D0875"/>
    <w:rsid w:val="001D285E"/>
    <w:rsid w:val="001D63A7"/>
    <w:rsid w:val="001E0956"/>
    <w:rsid w:val="001E2C53"/>
    <w:rsid w:val="001E6B38"/>
    <w:rsid w:val="001F7C9C"/>
    <w:rsid w:val="00206750"/>
    <w:rsid w:val="0021002F"/>
    <w:rsid w:val="00211C8B"/>
    <w:rsid w:val="00214045"/>
    <w:rsid w:val="00214D61"/>
    <w:rsid w:val="002216FE"/>
    <w:rsid w:val="00222E97"/>
    <w:rsid w:val="0022371F"/>
    <w:rsid w:val="0023079F"/>
    <w:rsid w:val="00236051"/>
    <w:rsid w:val="00241A35"/>
    <w:rsid w:val="002442EE"/>
    <w:rsid w:val="00246A4B"/>
    <w:rsid w:val="00250B71"/>
    <w:rsid w:val="00252D4E"/>
    <w:rsid w:val="00254734"/>
    <w:rsid w:val="00254A16"/>
    <w:rsid w:val="00257F9A"/>
    <w:rsid w:val="00265CD7"/>
    <w:rsid w:val="0026605E"/>
    <w:rsid w:val="00266284"/>
    <w:rsid w:val="002750B3"/>
    <w:rsid w:val="00285CDE"/>
    <w:rsid w:val="002863BC"/>
    <w:rsid w:val="00286D5D"/>
    <w:rsid w:val="00287CC9"/>
    <w:rsid w:val="002A1386"/>
    <w:rsid w:val="002B1E65"/>
    <w:rsid w:val="002B5E9E"/>
    <w:rsid w:val="002B7CE7"/>
    <w:rsid w:val="002C03BF"/>
    <w:rsid w:val="002C4F00"/>
    <w:rsid w:val="002C5B9A"/>
    <w:rsid w:val="002C7205"/>
    <w:rsid w:val="002D0CA9"/>
    <w:rsid w:val="002D356C"/>
    <w:rsid w:val="002D6FFE"/>
    <w:rsid w:val="002E0D63"/>
    <w:rsid w:val="002E2707"/>
    <w:rsid w:val="002E4425"/>
    <w:rsid w:val="002E60FE"/>
    <w:rsid w:val="002E67E1"/>
    <w:rsid w:val="002E70E4"/>
    <w:rsid w:val="002E7882"/>
    <w:rsid w:val="002F06EE"/>
    <w:rsid w:val="002F1532"/>
    <w:rsid w:val="002F3AF8"/>
    <w:rsid w:val="003007A6"/>
    <w:rsid w:val="00302B23"/>
    <w:rsid w:val="0030510F"/>
    <w:rsid w:val="00307E93"/>
    <w:rsid w:val="00310A26"/>
    <w:rsid w:val="003119BE"/>
    <w:rsid w:val="00312FCD"/>
    <w:rsid w:val="00313386"/>
    <w:rsid w:val="003216B4"/>
    <w:rsid w:val="00321E3A"/>
    <w:rsid w:val="00326592"/>
    <w:rsid w:val="00326B52"/>
    <w:rsid w:val="00327D96"/>
    <w:rsid w:val="00331B4A"/>
    <w:rsid w:val="003331B4"/>
    <w:rsid w:val="00340A10"/>
    <w:rsid w:val="00344C08"/>
    <w:rsid w:val="003463F7"/>
    <w:rsid w:val="003522EC"/>
    <w:rsid w:val="003557F1"/>
    <w:rsid w:val="00364465"/>
    <w:rsid w:val="0036755B"/>
    <w:rsid w:val="00372E4A"/>
    <w:rsid w:val="00373AE3"/>
    <w:rsid w:val="00376B5A"/>
    <w:rsid w:val="00385541"/>
    <w:rsid w:val="00387877"/>
    <w:rsid w:val="00397FCC"/>
    <w:rsid w:val="003A258A"/>
    <w:rsid w:val="003A3E34"/>
    <w:rsid w:val="003A408B"/>
    <w:rsid w:val="003B61F8"/>
    <w:rsid w:val="003C0D61"/>
    <w:rsid w:val="003C2671"/>
    <w:rsid w:val="003C2ADD"/>
    <w:rsid w:val="003D44A6"/>
    <w:rsid w:val="003E4352"/>
    <w:rsid w:val="003E4689"/>
    <w:rsid w:val="003E53C6"/>
    <w:rsid w:val="003F46D6"/>
    <w:rsid w:val="003F739C"/>
    <w:rsid w:val="00400095"/>
    <w:rsid w:val="00402730"/>
    <w:rsid w:val="00404F43"/>
    <w:rsid w:val="004075C7"/>
    <w:rsid w:val="0040781A"/>
    <w:rsid w:val="00407FC0"/>
    <w:rsid w:val="00415C48"/>
    <w:rsid w:val="00417DB8"/>
    <w:rsid w:val="0042615C"/>
    <w:rsid w:val="0043067B"/>
    <w:rsid w:val="004377AD"/>
    <w:rsid w:val="00440D2A"/>
    <w:rsid w:val="00441AC3"/>
    <w:rsid w:val="0044710F"/>
    <w:rsid w:val="004478DE"/>
    <w:rsid w:val="00454698"/>
    <w:rsid w:val="00455B84"/>
    <w:rsid w:val="00457DD3"/>
    <w:rsid w:val="004606CA"/>
    <w:rsid w:val="004617C4"/>
    <w:rsid w:val="00464B82"/>
    <w:rsid w:val="00467972"/>
    <w:rsid w:val="00471EDB"/>
    <w:rsid w:val="00475189"/>
    <w:rsid w:val="00476F43"/>
    <w:rsid w:val="00480754"/>
    <w:rsid w:val="00481356"/>
    <w:rsid w:val="00481D52"/>
    <w:rsid w:val="00482592"/>
    <w:rsid w:val="004833FB"/>
    <w:rsid w:val="0048464F"/>
    <w:rsid w:val="00487AE5"/>
    <w:rsid w:val="00487B58"/>
    <w:rsid w:val="0049058D"/>
    <w:rsid w:val="00491FE2"/>
    <w:rsid w:val="004937BE"/>
    <w:rsid w:val="0049756C"/>
    <w:rsid w:val="004A2CF2"/>
    <w:rsid w:val="004A389D"/>
    <w:rsid w:val="004A3B7C"/>
    <w:rsid w:val="004B057D"/>
    <w:rsid w:val="004B0FEA"/>
    <w:rsid w:val="004B43FF"/>
    <w:rsid w:val="004B4AEB"/>
    <w:rsid w:val="004B6795"/>
    <w:rsid w:val="004B7930"/>
    <w:rsid w:val="004C7800"/>
    <w:rsid w:val="004D0050"/>
    <w:rsid w:val="004D5890"/>
    <w:rsid w:val="004D5F35"/>
    <w:rsid w:val="004E0FBA"/>
    <w:rsid w:val="004E5EB9"/>
    <w:rsid w:val="004F1334"/>
    <w:rsid w:val="00502254"/>
    <w:rsid w:val="005061C9"/>
    <w:rsid w:val="00507978"/>
    <w:rsid w:val="00516588"/>
    <w:rsid w:val="00516EC0"/>
    <w:rsid w:val="005220F5"/>
    <w:rsid w:val="005252FD"/>
    <w:rsid w:val="00526F06"/>
    <w:rsid w:val="00527E85"/>
    <w:rsid w:val="005301AA"/>
    <w:rsid w:val="00530BED"/>
    <w:rsid w:val="005313EA"/>
    <w:rsid w:val="00532075"/>
    <w:rsid w:val="005409B1"/>
    <w:rsid w:val="00540D71"/>
    <w:rsid w:val="00545516"/>
    <w:rsid w:val="0054586B"/>
    <w:rsid w:val="005458C1"/>
    <w:rsid w:val="00560AD0"/>
    <w:rsid w:val="00562D47"/>
    <w:rsid w:val="00565138"/>
    <w:rsid w:val="00565751"/>
    <w:rsid w:val="00572778"/>
    <w:rsid w:val="00572B8A"/>
    <w:rsid w:val="0057415B"/>
    <w:rsid w:val="0057490D"/>
    <w:rsid w:val="00581C6C"/>
    <w:rsid w:val="0058287F"/>
    <w:rsid w:val="00582E04"/>
    <w:rsid w:val="00584BAE"/>
    <w:rsid w:val="005858CF"/>
    <w:rsid w:val="005859CB"/>
    <w:rsid w:val="00586963"/>
    <w:rsid w:val="0058703B"/>
    <w:rsid w:val="00590F8D"/>
    <w:rsid w:val="00594B8F"/>
    <w:rsid w:val="00594EEF"/>
    <w:rsid w:val="005951FC"/>
    <w:rsid w:val="00595668"/>
    <w:rsid w:val="00595F0C"/>
    <w:rsid w:val="005A0958"/>
    <w:rsid w:val="005A3D59"/>
    <w:rsid w:val="005A7ADB"/>
    <w:rsid w:val="005A7BFB"/>
    <w:rsid w:val="005B10D1"/>
    <w:rsid w:val="005B3EAD"/>
    <w:rsid w:val="005B6AED"/>
    <w:rsid w:val="005C10B2"/>
    <w:rsid w:val="005C4B9A"/>
    <w:rsid w:val="005C5E34"/>
    <w:rsid w:val="005C623D"/>
    <w:rsid w:val="005D0565"/>
    <w:rsid w:val="005D1107"/>
    <w:rsid w:val="005D6AC1"/>
    <w:rsid w:val="005D7CC1"/>
    <w:rsid w:val="005E1D95"/>
    <w:rsid w:val="005E3DF0"/>
    <w:rsid w:val="005E6130"/>
    <w:rsid w:val="005E71B3"/>
    <w:rsid w:val="005F7BD4"/>
    <w:rsid w:val="00600E54"/>
    <w:rsid w:val="00605751"/>
    <w:rsid w:val="00610675"/>
    <w:rsid w:val="006119F3"/>
    <w:rsid w:val="0061418F"/>
    <w:rsid w:val="00615F34"/>
    <w:rsid w:val="00617F9A"/>
    <w:rsid w:val="006252A4"/>
    <w:rsid w:val="00631052"/>
    <w:rsid w:val="00631957"/>
    <w:rsid w:val="00631D57"/>
    <w:rsid w:val="006324E7"/>
    <w:rsid w:val="0063669E"/>
    <w:rsid w:val="00640509"/>
    <w:rsid w:val="00640D71"/>
    <w:rsid w:val="00645D7A"/>
    <w:rsid w:val="00646270"/>
    <w:rsid w:val="006504E6"/>
    <w:rsid w:val="00652A4A"/>
    <w:rsid w:val="00653CE6"/>
    <w:rsid w:val="006567FA"/>
    <w:rsid w:val="00664048"/>
    <w:rsid w:val="00666AF9"/>
    <w:rsid w:val="0066776C"/>
    <w:rsid w:val="00667BF5"/>
    <w:rsid w:val="0067393A"/>
    <w:rsid w:val="006756C9"/>
    <w:rsid w:val="00683A00"/>
    <w:rsid w:val="00684275"/>
    <w:rsid w:val="0069087A"/>
    <w:rsid w:val="00692867"/>
    <w:rsid w:val="00695574"/>
    <w:rsid w:val="00696184"/>
    <w:rsid w:val="00697264"/>
    <w:rsid w:val="006A1A45"/>
    <w:rsid w:val="006A22CF"/>
    <w:rsid w:val="006A4A14"/>
    <w:rsid w:val="006A7670"/>
    <w:rsid w:val="006B2C7D"/>
    <w:rsid w:val="006B492E"/>
    <w:rsid w:val="006B5316"/>
    <w:rsid w:val="006B6D31"/>
    <w:rsid w:val="006C672B"/>
    <w:rsid w:val="006D15D0"/>
    <w:rsid w:val="006D370D"/>
    <w:rsid w:val="006D38B3"/>
    <w:rsid w:val="006D5AE7"/>
    <w:rsid w:val="006D68E6"/>
    <w:rsid w:val="006D7573"/>
    <w:rsid w:val="006D7937"/>
    <w:rsid w:val="006E0600"/>
    <w:rsid w:val="006E07F0"/>
    <w:rsid w:val="006E2712"/>
    <w:rsid w:val="006E329F"/>
    <w:rsid w:val="006E330A"/>
    <w:rsid w:val="006E4031"/>
    <w:rsid w:val="006E6BEC"/>
    <w:rsid w:val="006F1ABD"/>
    <w:rsid w:val="00700664"/>
    <w:rsid w:val="00701960"/>
    <w:rsid w:val="00712A0C"/>
    <w:rsid w:val="007146EF"/>
    <w:rsid w:val="007172AD"/>
    <w:rsid w:val="00717F29"/>
    <w:rsid w:val="007201C3"/>
    <w:rsid w:val="007249E9"/>
    <w:rsid w:val="007252CF"/>
    <w:rsid w:val="00726972"/>
    <w:rsid w:val="007311EF"/>
    <w:rsid w:val="007317A7"/>
    <w:rsid w:val="00735C15"/>
    <w:rsid w:val="00736504"/>
    <w:rsid w:val="00737090"/>
    <w:rsid w:val="00746635"/>
    <w:rsid w:val="00746A77"/>
    <w:rsid w:val="00750095"/>
    <w:rsid w:val="00750721"/>
    <w:rsid w:val="00750B17"/>
    <w:rsid w:val="00751385"/>
    <w:rsid w:val="00757185"/>
    <w:rsid w:val="007604A0"/>
    <w:rsid w:val="00760E59"/>
    <w:rsid w:val="007640A4"/>
    <w:rsid w:val="00764BA4"/>
    <w:rsid w:val="00772842"/>
    <w:rsid w:val="007759F2"/>
    <w:rsid w:val="00780177"/>
    <w:rsid w:val="00780E09"/>
    <w:rsid w:val="00781036"/>
    <w:rsid w:val="00781EEE"/>
    <w:rsid w:val="00782C0F"/>
    <w:rsid w:val="007857A4"/>
    <w:rsid w:val="00786051"/>
    <w:rsid w:val="00796DD4"/>
    <w:rsid w:val="007A066A"/>
    <w:rsid w:val="007A0971"/>
    <w:rsid w:val="007A3E2A"/>
    <w:rsid w:val="007B00B3"/>
    <w:rsid w:val="007B10C5"/>
    <w:rsid w:val="007B461E"/>
    <w:rsid w:val="007B46F6"/>
    <w:rsid w:val="007B50C6"/>
    <w:rsid w:val="007B5287"/>
    <w:rsid w:val="007B6399"/>
    <w:rsid w:val="007B6D55"/>
    <w:rsid w:val="007C1C44"/>
    <w:rsid w:val="007C24EE"/>
    <w:rsid w:val="007C35D6"/>
    <w:rsid w:val="007C35E6"/>
    <w:rsid w:val="007C76CC"/>
    <w:rsid w:val="007C7ED9"/>
    <w:rsid w:val="007D0770"/>
    <w:rsid w:val="007D2234"/>
    <w:rsid w:val="007D42B7"/>
    <w:rsid w:val="007D6059"/>
    <w:rsid w:val="007D666C"/>
    <w:rsid w:val="007D7BB1"/>
    <w:rsid w:val="007E1BDA"/>
    <w:rsid w:val="007E1C69"/>
    <w:rsid w:val="007E1DF6"/>
    <w:rsid w:val="007E1EA5"/>
    <w:rsid w:val="007E61F2"/>
    <w:rsid w:val="007E6551"/>
    <w:rsid w:val="007F068D"/>
    <w:rsid w:val="007F2C1F"/>
    <w:rsid w:val="00801079"/>
    <w:rsid w:val="00801780"/>
    <w:rsid w:val="00801ED5"/>
    <w:rsid w:val="0080240E"/>
    <w:rsid w:val="00807D97"/>
    <w:rsid w:val="008102ED"/>
    <w:rsid w:val="00810A9C"/>
    <w:rsid w:val="00813CAA"/>
    <w:rsid w:val="00813D51"/>
    <w:rsid w:val="008275F9"/>
    <w:rsid w:val="00830D33"/>
    <w:rsid w:val="008319E3"/>
    <w:rsid w:val="00837A1D"/>
    <w:rsid w:val="00841320"/>
    <w:rsid w:val="008446EE"/>
    <w:rsid w:val="00845C3D"/>
    <w:rsid w:val="008506D1"/>
    <w:rsid w:val="00851C6A"/>
    <w:rsid w:val="00852870"/>
    <w:rsid w:val="0085443E"/>
    <w:rsid w:val="00861736"/>
    <w:rsid w:val="00863CF4"/>
    <w:rsid w:val="008667F8"/>
    <w:rsid w:val="00867202"/>
    <w:rsid w:val="00867EE4"/>
    <w:rsid w:val="008715F2"/>
    <w:rsid w:val="008730B4"/>
    <w:rsid w:val="0087659D"/>
    <w:rsid w:val="00891FAA"/>
    <w:rsid w:val="00892F8E"/>
    <w:rsid w:val="008939BA"/>
    <w:rsid w:val="00894758"/>
    <w:rsid w:val="008A5732"/>
    <w:rsid w:val="008A7317"/>
    <w:rsid w:val="008B053D"/>
    <w:rsid w:val="008B1745"/>
    <w:rsid w:val="008B5DFB"/>
    <w:rsid w:val="008C0529"/>
    <w:rsid w:val="008C0C7B"/>
    <w:rsid w:val="008C1B6F"/>
    <w:rsid w:val="008C2BC1"/>
    <w:rsid w:val="008C5BC1"/>
    <w:rsid w:val="008D26D2"/>
    <w:rsid w:val="008D4848"/>
    <w:rsid w:val="008D644D"/>
    <w:rsid w:val="008E1453"/>
    <w:rsid w:val="008E40D9"/>
    <w:rsid w:val="008F1986"/>
    <w:rsid w:val="008F279C"/>
    <w:rsid w:val="0090333D"/>
    <w:rsid w:val="00903AF1"/>
    <w:rsid w:val="00903B67"/>
    <w:rsid w:val="00904FCD"/>
    <w:rsid w:val="00907751"/>
    <w:rsid w:val="00907AD0"/>
    <w:rsid w:val="00910509"/>
    <w:rsid w:val="00911B61"/>
    <w:rsid w:val="009161E7"/>
    <w:rsid w:val="00917057"/>
    <w:rsid w:val="00917B48"/>
    <w:rsid w:val="00921D84"/>
    <w:rsid w:val="009223FE"/>
    <w:rsid w:val="0092415D"/>
    <w:rsid w:val="00925715"/>
    <w:rsid w:val="0092694C"/>
    <w:rsid w:val="009306D5"/>
    <w:rsid w:val="00932106"/>
    <w:rsid w:val="009324C8"/>
    <w:rsid w:val="00932998"/>
    <w:rsid w:val="00932C97"/>
    <w:rsid w:val="00934116"/>
    <w:rsid w:val="00941661"/>
    <w:rsid w:val="0094182D"/>
    <w:rsid w:val="00943AAB"/>
    <w:rsid w:val="00946EA8"/>
    <w:rsid w:val="00947DE3"/>
    <w:rsid w:val="009539B5"/>
    <w:rsid w:val="00955AE1"/>
    <w:rsid w:val="00963386"/>
    <w:rsid w:val="0096368C"/>
    <w:rsid w:val="0096409B"/>
    <w:rsid w:val="0096546D"/>
    <w:rsid w:val="009656EA"/>
    <w:rsid w:val="00966785"/>
    <w:rsid w:val="009707B6"/>
    <w:rsid w:val="00972651"/>
    <w:rsid w:val="009735CC"/>
    <w:rsid w:val="009803B5"/>
    <w:rsid w:val="009824C8"/>
    <w:rsid w:val="0098369F"/>
    <w:rsid w:val="00996496"/>
    <w:rsid w:val="009A0522"/>
    <w:rsid w:val="009A3F53"/>
    <w:rsid w:val="009A6E28"/>
    <w:rsid w:val="009A7C0D"/>
    <w:rsid w:val="009B06C0"/>
    <w:rsid w:val="009B0B12"/>
    <w:rsid w:val="009B2C78"/>
    <w:rsid w:val="009B4106"/>
    <w:rsid w:val="009B41BD"/>
    <w:rsid w:val="009B67F1"/>
    <w:rsid w:val="009B7BB7"/>
    <w:rsid w:val="009C1BA7"/>
    <w:rsid w:val="009C300C"/>
    <w:rsid w:val="009C40F3"/>
    <w:rsid w:val="009C72B1"/>
    <w:rsid w:val="009C7A49"/>
    <w:rsid w:val="009D02DF"/>
    <w:rsid w:val="009D4F47"/>
    <w:rsid w:val="009D722A"/>
    <w:rsid w:val="009E0F13"/>
    <w:rsid w:val="009E38BD"/>
    <w:rsid w:val="009F0614"/>
    <w:rsid w:val="009F2981"/>
    <w:rsid w:val="009F4EEA"/>
    <w:rsid w:val="009F58BC"/>
    <w:rsid w:val="009F7B60"/>
    <w:rsid w:val="00A03FB2"/>
    <w:rsid w:val="00A04EE5"/>
    <w:rsid w:val="00A05DEA"/>
    <w:rsid w:val="00A10357"/>
    <w:rsid w:val="00A1482B"/>
    <w:rsid w:val="00A175F3"/>
    <w:rsid w:val="00A17D3F"/>
    <w:rsid w:val="00A21849"/>
    <w:rsid w:val="00A22097"/>
    <w:rsid w:val="00A245DF"/>
    <w:rsid w:val="00A24721"/>
    <w:rsid w:val="00A24E48"/>
    <w:rsid w:val="00A3143D"/>
    <w:rsid w:val="00A32941"/>
    <w:rsid w:val="00A40F4F"/>
    <w:rsid w:val="00A4172F"/>
    <w:rsid w:val="00A41B29"/>
    <w:rsid w:val="00A44591"/>
    <w:rsid w:val="00A447C4"/>
    <w:rsid w:val="00A45B9C"/>
    <w:rsid w:val="00A478CF"/>
    <w:rsid w:val="00A5250A"/>
    <w:rsid w:val="00A54057"/>
    <w:rsid w:val="00A5506F"/>
    <w:rsid w:val="00A610F5"/>
    <w:rsid w:val="00A61159"/>
    <w:rsid w:val="00A66A2E"/>
    <w:rsid w:val="00A67961"/>
    <w:rsid w:val="00A67F63"/>
    <w:rsid w:val="00A732A4"/>
    <w:rsid w:val="00A77676"/>
    <w:rsid w:val="00A77A28"/>
    <w:rsid w:val="00A80EE6"/>
    <w:rsid w:val="00A82C60"/>
    <w:rsid w:val="00A83278"/>
    <w:rsid w:val="00A87D35"/>
    <w:rsid w:val="00A97FED"/>
    <w:rsid w:val="00AA0819"/>
    <w:rsid w:val="00AA24CE"/>
    <w:rsid w:val="00AA3D93"/>
    <w:rsid w:val="00AA6DE2"/>
    <w:rsid w:val="00AB2DF4"/>
    <w:rsid w:val="00AB3B8C"/>
    <w:rsid w:val="00AB4CEE"/>
    <w:rsid w:val="00AB7172"/>
    <w:rsid w:val="00AC2683"/>
    <w:rsid w:val="00AC6FCD"/>
    <w:rsid w:val="00AC789A"/>
    <w:rsid w:val="00AD3185"/>
    <w:rsid w:val="00AD33D8"/>
    <w:rsid w:val="00AD391F"/>
    <w:rsid w:val="00AD4E6E"/>
    <w:rsid w:val="00AE109C"/>
    <w:rsid w:val="00AE2A6E"/>
    <w:rsid w:val="00AE320E"/>
    <w:rsid w:val="00AE3F0B"/>
    <w:rsid w:val="00AF419E"/>
    <w:rsid w:val="00AF742C"/>
    <w:rsid w:val="00B001D3"/>
    <w:rsid w:val="00B007E0"/>
    <w:rsid w:val="00B01E1C"/>
    <w:rsid w:val="00B0206D"/>
    <w:rsid w:val="00B02723"/>
    <w:rsid w:val="00B0776E"/>
    <w:rsid w:val="00B13234"/>
    <w:rsid w:val="00B133C5"/>
    <w:rsid w:val="00B16B8D"/>
    <w:rsid w:val="00B17C29"/>
    <w:rsid w:val="00B206A2"/>
    <w:rsid w:val="00B24AC9"/>
    <w:rsid w:val="00B265C9"/>
    <w:rsid w:val="00B30A58"/>
    <w:rsid w:val="00B331C4"/>
    <w:rsid w:val="00B34DF4"/>
    <w:rsid w:val="00B35016"/>
    <w:rsid w:val="00B35E39"/>
    <w:rsid w:val="00B402A4"/>
    <w:rsid w:val="00B403DC"/>
    <w:rsid w:val="00B41BF0"/>
    <w:rsid w:val="00B43336"/>
    <w:rsid w:val="00B44868"/>
    <w:rsid w:val="00B474BE"/>
    <w:rsid w:val="00B50036"/>
    <w:rsid w:val="00B51906"/>
    <w:rsid w:val="00B526EB"/>
    <w:rsid w:val="00B5464E"/>
    <w:rsid w:val="00B56285"/>
    <w:rsid w:val="00B60766"/>
    <w:rsid w:val="00B60CB5"/>
    <w:rsid w:val="00B64A26"/>
    <w:rsid w:val="00B674A5"/>
    <w:rsid w:val="00B7137D"/>
    <w:rsid w:val="00B71646"/>
    <w:rsid w:val="00B727DE"/>
    <w:rsid w:val="00B73BDE"/>
    <w:rsid w:val="00B756AF"/>
    <w:rsid w:val="00B75EB4"/>
    <w:rsid w:val="00B77865"/>
    <w:rsid w:val="00B84954"/>
    <w:rsid w:val="00B863E3"/>
    <w:rsid w:val="00B90016"/>
    <w:rsid w:val="00B92A66"/>
    <w:rsid w:val="00B92D13"/>
    <w:rsid w:val="00B93554"/>
    <w:rsid w:val="00B9776F"/>
    <w:rsid w:val="00BA0781"/>
    <w:rsid w:val="00BA1178"/>
    <w:rsid w:val="00BA1DE7"/>
    <w:rsid w:val="00BA26BB"/>
    <w:rsid w:val="00BC1B8C"/>
    <w:rsid w:val="00BC4CCB"/>
    <w:rsid w:val="00BC5260"/>
    <w:rsid w:val="00BC6788"/>
    <w:rsid w:val="00BD0D66"/>
    <w:rsid w:val="00BD2BD2"/>
    <w:rsid w:val="00BD393C"/>
    <w:rsid w:val="00BD666A"/>
    <w:rsid w:val="00BE53C5"/>
    <w:rsid w:val="00BE5444"/>
    <w:rsid w:val="00BF2A24"/>
    <w:rsid w:val="00BF2EF8"/>
    <w:rsid w:val="00BF31E7"/>
    <w:rsid w:val="00BF7977"/>
    <w:rsid w:val="00C027B4"/>
    <w:rsid w:val="00C0385B"/>
    <w:rsid w:val="00C05175"/>
    <w:rsid w:val="00C1131D"/>
    <w:rsid w:val="00C12647"/>
    <w:rsid w:val="00C128D6"/>
    <w:rsid w:val="00C13613"/>
    <w:rsid w:val="00C17D70"/>
    <w:rsid w:val="00C21052"/>
    <w:rsid w:val="00C226A6"/>
    <w:rsid w:val="00C269C9"/>
    <w:rsid w:val="00C316D6"/>
    <w:rsid w:val="00C340A6"/>
    <w:rsid w:val="00C34761"/>
    <w:rsid w:val="00C357BE"/>
    <w:rsid w:val="00C37019"/>
    <w:rsid w:val="00C417F9"/>
    <w:rsid w:val="00C42CCA"/>
    <w:rsid w:val="00C517C8"/>
    <w:rsid w:val="00C57A41"/>
    <w:rsid w:val="00C6273F"/>
    <w:rsid w:val="00C63E9A"/>
    <w:rsid w:val="00C66127"/>
    <w:rsid w:val="00C71329"/>
    <w:rsid w:val="00C74F5F"/>
    <w:rsid w:val="00C81999"/>
    <w:rsid w:val="00C83E7E"/>
    <w:rsid w:val="00C84AD6"/>
    <w:rsid w:val="00C87B0C"/>
    <w:rsid w:val="00C91253"/>
    <w:rsid w:val="00C91E5A"/>
    <w:rsid w:val="00C9402E"/>
    <w:rsid w:val="00C9535A"/>
    <w:rsid w:val="00C9738A"/>
    <w:rsid w:val="00CA1355"/>
    <w:rsid w:val="00CA3282"/>
    <w:rsid w:val="00CA3389"/>
    <w:rsid w:val="00CA35D2"/>
    <w:rsid w:val="00CA5229"/>
    <w:rsid w:val="00CA71C0"/>
    <w:rsid w:val="00CB4304"/>
    <w:rsid w:val="00CB5EF6"/>
    <w:rsid w:val="00CB6384"/>
    <w:rsid w:val="00CB7B13"/>
    <w:rsid w:val="00CC693B"/>
    <w:rsid w:val="00CD01AB"/>
    <w:rsid w:val="00CD06EF"/>
    <w:rsid w:val="00CD3FCD"/>
    <w:rsid w:val="00CD7168"/>
    <w:rsid w:val="00CE13AA"/>
    <w:rsid w:val="00CE22B9"/>
    <w:rsid w:val="00CE267B"/>
    <w:rsid w:val="00CE3C19"/>
    <w:rsid w:val="00CF2614"/>
    <w:rsid w:val="00CF5C32"/>
    <w:rsid w:val="00CF6433"/>
    <w:rsid w:val="00D00996"/>
    <w:rsid w:val="00D02B44"/>
    <w:rsid w:val="00D03098"/>
    <w:rsid w:val="00D056AD"/>
    <w:rsid w:val="00D05F2D"/>
    <w:rsid w:val="00D061B4"/>
    <w:rsid w:val="00D1024E"/>
    <w:rsid w:val="00D15297"/>
    <w:rsid w:val="00D15948"/>
    <w:rsid w:val="00D16C97"/>
    <w:rsid w:val="00D207C4"/>
    <w:rsid w:val="00D20DB2"/>
    <w:rsid w:val="00D23860"/>
    <w:rsid w:val="00D25001"/>
    <w:rsid w:val="00D25E96"/>
    <w:rsid w:val="00D26C53"/>
    <w:rsid w:val="00D26DAE"/>
    <w:rsid w:val="00D30A7F"/>
    <w:rsid w:val="00D316DA"/>
    <w:rsid w:val="00D32A23"/>
    <w:rsid w:val="00D3745F"/>
    <w:rsid w:val="00D43DCA"/>
    <w:rsid w:val="00D45CB8"/>
    <w:rsid w:val="00D45D8B"/>
    <w:rsid w:val="00D50674"/>
    <w:rsid w:val="00D5286C"/>
    <w:rsid w:val="00D529C9"/>
    <w:rsid w:val="00D5678E"/>
    <w:rsid w:val="00D57556"/>
    <w:rsid w:val="00D60038"/>
    <w:rsid w:val="00D61D26"/>
    <w:rsid w:val="00D641EB"/>
    <w:rsid w:val="00D65CD7"/>
    <w:rsid w:val="00D65F10"/>
    <w:rsid w:val="00D67F40"/>
    <w:rsid w:val="00D7280F"/>
    <w:rsid w:val="00D737A3"/>
    <w:rsid w:val="00D75BC3"/>
    <w:rsid w:val="00D76BC6"/>
    <w:rsid w:val="00D76E23"/>
    <w:rsid w:val="00D775E6"/>
    <w:rsid w:val="00D82C2C"/>
    <w:rsid w:val="00D8349E"/>
    <w:rsid w:val="00D83AAD"/>
    <w:rsid w:val="00D86249"/>
    <w:rsid w:val="00D918CC"/>
    <w:rsid w:val="00D931AE"/>
    <w:rsid w:val="00D96C13"/>
    <w:rsid w:val="00D970E9"/>
    <w:rsid w:val="00DA0920"/>
    <w:rsid w:val="00DA2AD8"/>
    <w:rsid w:val="00DA339C"/>
    <w:rsid w:val="00DA4101"/>
    <w:rsid w:val="00DB22A9"/>
    <w:rsid w:val="00DB2562"/>
    <w:rsid w:val="00DC2AB9"/>
    <w:rsid w:val="00DC5B29"/>
    <w:rsid w:val="00DD2828"/>
    <w:rsid w:val="00DD32DE"/>
    <w:rsid w:val="00DD35B0"/>
    <w:rsid w:val="00DD65A6"/>
    <w:rsid w:val="00DE0DE8"/>
    <w:rsid w:val="00DE284D"/>
    <w:rsid w:val="00DE34E2"/>
    <w:rsid w:val="00DE5E1A"/>
    <w:rsid w:val="00DF0C23"/>
    <w:rsid w:val="00DF106C"/>
    <w:rsid w:val="00DF6F79"/>
    <w:rsid w:val="00E008E8"/>
    <w:rsid w:val="00E01961"/>
    <w:rsid w:val="00E02BD9"/>
    <w:rsid w:val="00E068BE"/>
    <w:rsid w:val="00E12241"/>
    <w:rsid w:val="00E149B3"/>
    <w:rsid w:val="00E15377"/>
    <w:rsid w:val="00E1570C"/>
    <w:rsid w:val="00E159C1"/>
    <w:rsid w:val="00E251C5"/>
    <w:rsid w:val="00E2574A"/>
    <w:rsid w:val="00E266CA"/>
    <w:rsid w:val="00E317D4"/>
    <w:rsid w:val="00E32529"/>
    <w:rsid w:val="00E403B1"/>
    <w:rsid w:val="00E41056"/>
    <w:rsid w:val="00E41423"/>
    <w:rsid w:val="00E42921"/>
    <w:rsid w:val="00E453C4"/>
    <w:rsid w:val="00E50EAA"/>
    <w:rsid w:val="00E60778"/>
    <w:rsid w:val="00E632B2"/>
    <w:rsid w:val="00E667C2"/>
    <w:rsid w:val="00E66A5C"/>
    <w:rsid w:val="00E7755A"/>
    <w:rsid w:val="00E80EE4"/>
    <w:rsid w:val="00E826E5"/>
    <w:rsid w:val="00E837CF"/>
    <w:rsid w:val="00E84878"/>
    <w:rsid w:val="00E85B57"/>
    <w:rsid w:val="00E8623F"/>
    <w:rsid w:val="00E97088"/>
    <w:rsid w:val="00EA1ABB"/>
    <w:rsid w:val="00EA2018"/>
    <w:rsid w:val="00EA63C4"/>
    <w:rsid w:val="00EA7E29"/>
    <w:rsid w:val="00EB5495"/>
    <w:rsid w:val="00EC304F"/>
    <w:rsid w:val="00EC4366"/>
    <w:rsid w:val="00ED1CAE"/>
    <w:rsid w:val="00ED388D"/>
    <w:rsid w:val="00ED41E9"/>
    <w:rsid w:val="00ED5C63"/>
    <w:rsid w:val="00EE08BD"/>
    <w:rsid w:val="00EE0B78"/>
    <w:rsid w:val="00EE22BD"/>
    <w:rsid w:val="00EE27C1"/>
    <w:rsid w:val="00EE4C74"/>
    <w:rsid w:val="00EE579A"/>
    <w:rsid w:val="00EE7783"/>
    <w:rsid w:val="00EF082B"/>
    <w:rsid w:val="00EF3394"/>
    <w:rsid w:val="00EF543B"/>
    <w:rsid w:val="00EF7722"/>
    <w:rsid w:val="00F02BC2"/>
    <w:rsid w:val="00F0394D"/>
    <w:rsid w:val="00F05596"/>
    <w:rsid w:val="00F10798"/>
    <w:rsid w:val="00F10C55"/>
    <w:rsid w:val="00F12859"/>
    <w:rsid w:val="00F139A3"/>
    <w:rsid w:val="00F20CF1"/>
    <w:rsid w:val="00F2109D"/>
    <w:rsid w:val="00F21967"/>
    <w:rsid w:val="00F33293"/>
    <w:rsid w:val="00F33FDF"/>
    <w:rsid w:val="00F36CEA"/>
    <w:rsid w:val="00F46A54"/>
    <w:rsid w:val="00F46C95"/>
    <w:rsid w:val="00F4798F"/>
    <w:rsid w:val="00F50074"/>
    <w:rsid w:val="00F5271A"/>
    <w:rsid w:val="00F54C1C"/>
    <w:rsid w:val="00F622B0"/>
    <w:rsid w:val="00F62A6B"/>
    <w:rsid w:val="00F7007C"/>
    <w:rsid w:val="00F701CA"/>
    <w:rsid w:val="00F7077A"/>
    <w:rsid w:val="00F719AF"/>
    <w:rsid w:val="00F73A1E"/>
    <w:rsid w:val="00F77ACC"/>
    <w:rsid w:val="00F82164"/>
    <w:rsid w:val="00F84095"/>
    <w:rsid w:val="00F84C84"/>
    <w:rsid w:val="00F86F8C"/>
    <w:rsid w:val="00F87DCF"/>
    <w:rsid w:val="00F9324E"/>
    <w:rsid w:val="00F95677"/>
    <w:rsid w:val="00FA67BB"/>
    <w:rsid w:val="00FA69F6"/>
    <w:rsid w:val="00FB2CC6"/>
    <w:rsid w:val="00FB44F0"/>
    <w:rsid w:val="00FB4DE1"/>
    <w:rsid w:val="00FB669E"/>
    <w:rsid w:val="00FB66FB"/>
    <w:rsid w:val="00FC087B"/>
    <w:rsid w:val="00FC0A9C"/>
    <w:rsid w:val="00FC23AF"/>
    <w:rsid w:val="00FC5ADC"/>
    <w:rsid w:val="00FD45DF"/>
    <w:rsid w:val="00FD4C3F"/>
    <w:rsid w:val="00FE1F99"/>
    <w:rsid w:val="00FE2F28"/>
    <w:rsid w:val="00FE49B1"/>
    <w:rsid w:val="00FE546F"/>
    <w:rsid w:val="00FF127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22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2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VEB-leasing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Angelina.Strebkova</dc:creator>
  <cp:lastModifiedBy>Khitrova Nadezhda</cp:lastModifiedBy>
  <cp:revision>2</cp:revision>
  <cp:lastPrinted>2015-08-18T08:32:00Z</cp:lastPrinted>
  <dcterms:created xsi:type="dcterms:W3CDTF">2015-08-18T14:07:00Z</dcterms:created>
  <dcterms:modified xsi:type="dcterms:W3CDTF">2015-08-18T14:07:00Z</dcterms:modified>
</cp:coreProperties>
</file>